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851"/>
        <w:gridCol w:w="285"/>
        <w:gridCol w:w="1277"/>
        <w:gridCol w:w="1002"/>
        <w:gridCol w:w="2840"/>
      </w:tblGrid>
      <w:tr w:rsidR="00125F3F">
        <w:trPr>
          <w:trHeight w:hRule="exact" w:val="1889"/>
        </w:trPr>
        <w:tc>
          <w:tcPr>
            <w:tcW w:w="426" w:type="dxa"/>
          </w:tcPr>
          <w:p w:rsidR="00125F3F" w:rsidRDefault="00125F3F"/>
        </w:tc>
        <w:tc>
          <w:tcPr>
            <w:tcW w:w="710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851" w:type="dxa"/>
          </w:tcPr>
          <w:p w:rsidR="00125F3F" w:rsidRDefault="00125F3F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«Школьная медиация в системе гражданско-правового образования», утв. приказом ректора ОмГА от 30.08.2021 №94</w:t>
            </w:r>
          </w:p>
          <w:p w:rsidR="00125F3F" w:rsidRDefault="0024485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25F3F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25F3F" w:rsidRPr="00244854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125F3F">
        <w:trPr>
          <w:trHeight w:hRule="exact" w:val="406"/>
        </w:trPr>
        <w:tc>
          <w:tcPr>
            <w:tcW w:w="426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25F3F" w:rsidRPr="00244854">
        <w:trPr>
          <w:trHeight w:hRule="exact" w:val="277"/>
        </w:trPr>
        <w:tc>
          <w:tcPr>
            <w:tcW w:w="426" w:type="dxa"/>
          </w:tcPr>
          <w:p w:rsidR="00125F3F" w:rsidRDefault="00125F3F"/>
        </w:tc>
        <w:tc>
          <w:tcPr>
            <w:tcW w:w="710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851" w:type="dxa"/>
          </w:tcPr>
          <w:p w:rsidR="00125F3F" w:rsidRDefault="00125F3F"/>
        </w:tc>
        <w:tc>
          <w:tcPr>
            <w:tcW w:w="285" w:type="dxa"/>
          </w:tcPr>
          <w:p w:rsidR="00125F3F" w:rsidRDefault="00125F3F"/>
        </w:tc>
        <w:tc>
          <w:tcPr>
            <w:tcW w:w="1277" w:type="dxa"/>
          </w:tcPr>
          <w:p w:rsidR="00125F3F" w:rsidRDefault="00125F3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25F3F" w:rsidRPr="00244854">
        <w:trPr>
          <w:trHeight w:hRule="exact" w:val="555"/>
        </w:trPr>
        <w:tc>
          <w:tcPr>
            <w:tcW w:w="426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5F3F" w:rsidRPr="00244854" w:rsidRDefault="0024485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125F3F">
        <w:trPr>
          <w:trHeight w:hRule="exact" w:val="277"/>
        </w:trPr>
        <w:tc>
          <w:tcPr>
            <w:tcW w:w="426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125F3F">
        <w:trPr>
          <w:trHeight w:hRule="exact" w:val="277"/>
        </w:trPr>
        <w:tc>
          <w:tcPr>
            <w:tcW w:w="426" w:type="dxa"/>
          </w:tcPr>
          <w:p w:rsidR="00125F3F" w:rsidRDefault="00125F3F"/>
        </w:tc>
        <w:tc>
          <w:tcPr>
            <w:tcW w:w="710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851" w:type="dxa"/>
          </w:tcPr>
          <w:p w:rsidR="00125F3F" w:rsidRDefault="00125F3F"/>
        </w:tc>
        <w:tc>
          <w:tcPr>
            <w:tcW w:w="285" w:type="dxa"/>
          </w:tcPr>
          <w:p w:rsidR="00125F3F" w:rsidRDefault="00125F3F"/>
        </w:tc>
        <w:tc>
          <w:tcPr>
            <w:tcW w:w="1277" w:type="dxa"/>
          </w:tcPr>
          <w:p w:rsidR="00125F3F" w:rsidRDefault="00125F3F"/>
        </w:tc>
        <w:tc>
          <w:tcPr>
            <w:tcW w:w="993" w:type="dxa"/>
          </w:tcPr>
          <w:p w:rsidR="00125F3F" w:rsidRDefault="00125F3F"/>
        </w:tc>
        <w:tc>
          <w:tcPr>
            <w:tcW w:w="2836" w:type="dxa"/>
          </w:tcPr>
          <w:p w:rsidR="00125F3F" w:rsidRDefault="00125F3F"/>
        </w:tc>
      </w:tr>
      <w:tr w:rsidR="00125F3F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25F3F" w:rsidRPr="00244854">
        <w:trPr>
          <w:trHeight w:hRule="exact" w:val="1135"/>
        </w:trPr>
        <w:tc>
          <w:tcPr>
            <w:tcW w:w="426" w:type="dxa"/>
          </w:tcPr>
          <w:p w:rsidR="00125F3F" w:rsidRDefault="00125F3F"/>
        </w:tc>
        <w:tc>
          <w:tcPr>
            <w:tcW w:w="710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Методология и методы научного исследования</w:t>
            </w:r>
          </w:p>
          <w:p w:rsidR="00125F3F" w:rsidRPr="00244854" w:rsidRDefault="0024485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К.М.01.02</w:t>
            </w:r>
          </w:p>
        </w:tc>
        <w:tc>
          <w:tcPr>
            <w:tcW w:w="2836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</w:tr>
      <w:tr w:rsidR="00125F3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125F3F" w:rsidRPr="00244854">
        <w:trPr>
          <w:trHeight w:hRule="exact" w:val="1396"/>
        </w:trPr>
        <w:tc>
          <w:tcPr>
            <w:tcW w:w="426" w:type="dxa"/>
          </w:tcPr>
          <w:p w:rsidR="00125F3F" w:rsidRDefault="00125F3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«Школьная медиация в системе гражданско- правового образования»</w:t>
            </w:r>
          </w:p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25F3F" w:rsidRPr="00244854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125F3F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125F3F" w:rsidRDefault="00125F3F"/>
        </w:tc>
        <w:tc>
          <w:tcPr>
            <w:tcW w:w="285" w:type="dxa"/>
          </w:tcPr>
          <w:p w:rsidR="00125F3F" w:rsidRDefault="00125F3F"/>
        </w:tc>
        <w:tc>
          <w:tcPr>
            <w:tcW w:w="1277" w:type="dxa"/>
          </w:tcPr>
          <w:p w:rsidR="00125F3F" w:rsidRDefault="00125F3F"/>
        </w:tc>
        <w:tc>
          <w:tcPr>
            <w:tcW w:w="993" w:type="dxa"/>
          </w:tcPr>
          <w:p w:rsidR="00125F3F" w:rsidRDefault="00125F3F"/>
        </w:tc>
        <w:tc>
          <w:tcPr>
            <w:tcW w:w="2836" w:type="dxa"/>
          </w:tcPr>
          <w:p w:rsidR="00125F3F" w:rsidRDefault="00125F3F"/>
        </w:tc>
      </w:tr>
      <w:tr w:rsidR="00125F3F">
        <w:trPr>
          <w:trHeight w:hRule="exact" w:val="155"/>
        </w:trPr>
        <w:tc>
          <w:tcPr>
            <w:tcW w:w="426" w:type="dxa"/>
          </w:tcPr>
          <w:p w:rsidR="00125F3F" w:rsidRDefault="00125F3F"/>
        </w:tc>
        <w:tc>
          <w:tcPr>
            <w:tcW w:w="710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851" w:type="dxa"/>
          </w:tcPr>
          <w:p w:rsidR="00125F3F" w:rsidRDefault="00125F3F"/>
        </w:tc>
        <w:tc>
          <w:tcPr>
            <w:tcW w:w="285" w:type="dxa"/>
          </w:tcPr>
          <w:p w:rsidR="00125F3F" w:rsidRDefault="00125F3F"/>
        </w:tc>
        <w:tc>
          <w:tcPr>
            <w:tcW w:w="1277" w:type="dxa"/>
          </w:tcPr>
          <w:p w:rsidR="00125F3F" w:rsidRDefault="00125F3F"/>
        </w:tc>
        <w:tc>
          <w:tcPr>
            <w:tcW w:w="993" w:type="dxa"/>
          </w:tcPr>
          <w:p w:rsidR="00125F3F" w:rsidRDefault="00125F3F"/>
        </w:tc>
        <w:tc>
          <w:tcPr>
            <w:tcW w:w="2836" w:type="dxa"/>
          </w:tcPr>
          <w:p w:rsidR="00125F3F" w:rsidRDefault="00125F3F"/>
        </w:tc>
      </w:tr>
      <w:tr w:rsidR="00125F3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25F3F" w:rsidRPr="0024485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25F3F" w:rsidRPr="00244854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rPr>
                <w:lang w:val="ru-RU"/>
              </w:rPr>
            </w:pPr>
          </w:p>
        </w:tc>
      </w:tr>
      <w:tr w:rsidR="00125F3F" w:rsidRPr="0024485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125F3F" w:rsidRPr="00244854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rPr>
                <w:lang w:val="ru-RU"/>
              </w:rPr>
            </w:pPr>
          </w:p>
        </w:tc>
      </w:tr>
      <w:tr w:rsidR="00125F3F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научно- исследовательский</w:t>
            </w:r>
          </w:p>
        </w:tc>
      </w:tr>
      <w:tr w:rsidR="00125F3F">
        <w:trPr>
          <w:trHeight w:hRule="exact" w:val="307"/>
        </w:trPr>
        <w:tc>
          <w:tcPr>
            <w:tcW w:w="426" w:type="dxa"/>
          </w:tcPr>
          <w:p w:rsidR="00125F3F" w:rsidRDefault="00125F3F"/>
        </w:tc>
        <w:tc>
          <w:tcPr>
            <w:tcW w:w="710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851" w:type="dxa"/>
          </w:tcPr>
          <w:p w:rsidR="00125F3F" w:rsidRDefault="00125F3F"/>
        </w:tc>
        <w:tc>
          <w:tcPr>
            <w:tcW w:w="285" w:type="dxa"/>
          </w:tcPr>
          <w:p w:rsidR="00125F3F" w:rsidRDefault="00125F3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125F3F"/>
        </w:tc>
      </w:tr>
      <w:tr w:rsidR="00125F3F">
        <w:trPr>
          <w:trHeight w:hRule="exact" w:val="1638"/>
        </w:trPr>
        <w:tc>
          <w:tcPr>
            <w:tcW w:w="426" w:type="dxa"/>
          </w:tcPr>
          <w:p w:rsidR="00125F3F" w:rsidRDefault="00125F3F"/>
        </w:tc>
        <w:tc>
          <w:tcPr>
            <w:tcW w:w="710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1419" w:type="dxa"/>
          </w:tcPr>
          <w:p w:rsidR="00125F3F" w:rsidRDefault="00125F3F"/>
        </w:tc>
        <w:tc>
          <w:tcPr>
            <w:tcW w:w="851" w:type="dxa"/>
          </w:tcPr>
          <w:p w:rsidR="00125F3F" w:rsidRDefault="00125F3F"/>
        </w:tc>
        <w:tc>
          <w:tcPr>
            <w:tcW w:w="285" w:type="dxa"/>
          </w:tcPr>
          <w:p w:rsidR="00125F3F" w:rsidRDefault="00125F3F"/>
        </w:tc>
        <w:tc>
          <w:tcPr>
            <w:tcW w:w="1277" w:type="dxa"/>
          </w:tcPr>
          <w:p w:rsidR="00125F3F" w:rsidRDefault="00125F3F"/>
        </w:tc>
        <w:tc>
          <w:tcPr>
            <w:tcW w:w="993" w:type="dxa"/>
          </w:tcPr>
          <w:p w:rsidR="00125F3F" w:rsidRDefault="00125F3F"/>
        </w:tc>
        <w:tc>
          <w:tcPr>
            <w:tcW w:w="2836" w:type="dxa"/>
          </w:tcPr>
          <w:p w:rsidR="00125F3F" w:rsidRDefault="00125F3F"/>
        </w:tc>
      </w:tr>
      <w:tr w:rsidR="00125F3F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25F3F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125F3F" w:rsidRPr="00244854" w:rsidRDefault="00125F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125F3F" w:rsidRPr="00244854" w:rsidRDefault="00125F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125F3F" w:rsidRDefault="002448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25F3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25F3F" w:rsidRPr="00244854" w:rsidRDefault="00125F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  <w:p w:rsidR="00125F3F" w:rsidRPr="00244854" w:rsidRDefault="00125F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125F3F" w:rsidRPr="0024485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кафедрой, доцент,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д.п.н.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25F3F" w:rsidRPr="00244854" w:rsidRDefault="00244854">
      <w:pPr>
        <w:rPr>
          <w:sz w:val="0"/>
          <w:szCs w:val="0"/>
          <w:lang w:val="ru-RU"/>
        </w:rPr>
      </w:pPr>
      <w:r w:rsidRPr="002448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5F3F" w:rsidRPr="002448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125F3F" w:rsidRPr="00244854">
        <w:trPr>
          <w:trHeight w:hRule="exact" w:val="555"/>
        </w:trPr>
        <w:tc>
          <w:tcPr>
            <w:tcW w:w="9640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</w:tr>
      <w:tr w:rsidR="00125F3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25F3F" w:rsidRDefault="002448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5F3F" w:rsidRPr="002448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25F3F" w:rsidRPr="0024485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«Школьная медиация в системе гражданско-правового образования»; форма обучения – заочная на 2021/2022 учебный год, утвержденным приказом ректора от 30.08.2021 №94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«Методология и методы научного исследования» в течение 2021/2022 учебного года: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125F3F" w:rsidRPr="00244854" w:rsidRDefault="00244854">
      <w:pPr>
        <w:rPr>
          <w:sz w:val="0"/>
          <w:szCs w:val="0"/>
          <w:lang w:val="ru-RU"/>
        </w:rPr>
      </w:pPr>
      <w:r w:rsidRPr="002448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5F3F" w:rsidRPr="0024485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125F3F" w:rsidRPr="00244854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К.М.01.02 «Методология и методы научного исследования».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25F3F" w:rsidRPr="00244854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«Методология и методы научного исследования»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25F3F" w:rsidRPr="002448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125F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25F3F" w:rsidRPr="002448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</w:t>
            </w:r>
          </w:p>
        </w:tc>
      </w:tr>
      <w:tr w:rsidR="00125F3F" w:rsidRPr="002448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уметь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</w:t>
            </w:r>
          </w:p>
        </w:tc>
      </w:tr>
      <w:tr w:rsidR="00125F3F" w:rsidRPr="00244854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владеть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</w:tr>
      <w:tr w:rsidR="00125F3F" w:rsidRPr="00244854">
        <w:trPr>
          <w:trHeight w:hRule="exact" w:val="277"/>
        </w:trPr>
        <w:tc>
          <w:tcPr>
            <w:tcW w:w="9640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</w:tr>
      <w:tr w:rsidR="00125F3F" w:rsidRPr="002448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125F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25F3F" w:rsidRPr="002448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цели собственной деятельности,  определять пути их достижения с уч?том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125F3F" w:rsidRPr="002448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уметь применять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125F3F" w:rsidRPr="0024485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определять приоритеты собственной деятельности, выстраивать планы их достижения</w:t>
            </w:r>
          </w:p>
        </w:tc>
      </w:tr>
      <w:tr w:rsidR="00125F3F" w:rsidRPr="0024485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владеть навыком критически оценивать эффективность использования времени и других ресурсов для совершенствования своей деятельности</w:t>
            </w:r>
          </w:p>
        </w:tc>
      </w:tr>
      <w:tr w:rsidR="00125F3F" w:rsidRPr="002448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владеть навыком демонстрировать интерес к уч?бе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</w:tr>
    </w:tbl>
    <w:p w:rsidR="00125F3F" w:rsidRPr="00244854" w:rsidRDefault="00244854">
      <w:pPr>
        <w:rPr>
          <w:sz w:val="0"/>
          <w:szCs w:val="0"/>
          <w:lang w:val="ru-RU"/>
        </w:rPr>
      </w:pPr>
      <w:r w:rsidRPr="002448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125F3F" w:rsidRPr="00244854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125F3F" w:rsidRPr="00244854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К.М.01.02 «Методология и методы научного исследования» относится к обязательной части, является дисциплиной Блока Б1. «Дисциплины (модули)». Модуль "Методология исследования в образовании"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125F3F" w:rsidRPr="0024485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25F3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Default="00125F3F"/>
        </w:tc>
      </w:tr>
      <w:tr w:rsidR="00125F3F" w:rsidRPr="0024485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Pr="00244854" w:rsidRDefault="00125F3F">
            <w:pPr>
              <w:rPr>
                <w:lang w:val="ru-RU"/>
              </w:rPr>
            </w:pPr>
          </w:p>
        </w:tc>
      </w:tr>
      <w:tr w:rsidR="00125F3F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Pr="00244854" w:rsidRDefault="00244854">
            <w:pPr>
              <w:spacing w:after="0" w:line="240" w:lineRule="auto"/>
              <w:jc w:val="center"/>
              <w:rPr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lang w:val="ru-RU"/>
              </w:rPr>
              <w:t>Для успешного освоения дисциплины необходимо изучить содержание дисциплины "Современные проблемы науки и образования"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Pr="00244854" w:rsidRDefault="00244854">
            <w:pPr>
              <w:spacing w:after="0" w:line="240" w:lineRule="auto"/>
              <w:jc w:val="center"/>
              <w:rPr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lang w:val="ru-RU"/>
              </w:rPr>
              <w:t>Теория аргументации в исследовательской деятельности</w:t>
            </w:r>
          </w:p>
          <w:p w:rsidR="00125F3F" w:rsidRPr="00244854" w:rsidRDefault="00244854">
            <w:pPr>
              <w:spacing w:after="0" w:line="240" w:lineRule="auto"/>
              <w:jc w:val="center"/>
              <w:rPr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(научно-исследовательская работа)</w:t>
            </w:r>
          </w:p>
          <w:p w:rsidR="00125F3F" w:rsidRPr="00244854" w:rsidRDefault="00244854">
            <w:pPr>
              <w:spacing w:after="0" w:line="240" w:lineRule="auto"/>
              <w:jc w:val="center"/>
              <w:rPr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(научно- исследовательская работа)</w:t>
            </w:r>
          </w:p>
          <w:p w:rsidR="00125F3F" w:rsidRPr="00244854" w:rsidRDefault="00244854">
            <w:pPr>
              <w:spacing w:after="0" w:line="240" w:lineRule="auto"/>
              <w:jc w:val="center"/>
              <w:rPr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ОПК-8, УК-6</w:t>
            </w:r>
          </w:p>
        </w:tc>
      </w:tr>
      <w:tr w:rsidR="00125F3F" w:rsidRPr="00244854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25F3F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25F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5F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5F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F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F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125F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5F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1</w:t>
            </w:r>
          </w:p>
        </w:tc>
      </w:tr>
      <w:tr w:rsidR="00125F3F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25F3F" w:rsidRPr="00244854" w:rsidRDefault="00125F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25F3F">
        <w:trPr>
          <w:trHeight w:hRule="exact" w:val="416"/>
        </w:trPr>
        <w:tc>
          <w:tcPr>
            <w:tcW w:w="3970" w:type="dxa"/>
          </w:tcPr>
          <w:p w:rsidR="00125F3F" w:rsidRDefault="00125F3F"/>
        </w:tc>
        <w:tc>
          <w:tcPr>
            <w:tcW w:w="1702" w:type="dxa"/>
          </w:tcPr>
          <w:p w:rsidR="00125F3F" w:rsidRDefault="00125F3F"/>
        </w:tc>
        <w:tc>
          <w:tcPr>
            <w:tcW w:w="1702" w:type="dxa"/>
          </w:tcPr>
          <w:p w:rsidR="00125F3F" w:rsidRDefault="00125F3F"/>
        </w:tc>
        <w:tc>
          <w:tcPr>
            <w:tcW w:w="426" w:type="dxa"/>
          </w:tcPr>
          <w:p w:rsidR="00125F3F" w:rsidRDefault="00125F3F"/>
        </w:tc>
        <w:tc>
          <w:tcPr>
            <w:tcW w:w="852" w:type="dxa"/>
          </w:tcPr>
          <w:p w:rsidR="00125F3F" w:rsidRDefault="00125F3F"/>
        </w:tc>
        <w:tc>
          <w:tcPr>
            <w:tcW w:w="993" w:type="dxa"/>
          </w:tcPr>
          <w:p w:rsidR="00125F3F" w:rsidRDefault="00125F3F"/>
        </w:tc>
      </w:tr>
      <w:tr w:rsidR="00125F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25F3F" w:rsidRPr="002448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организации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rPr>
                <w:lang w:val="ru-RU"/>
              </w:rPr>
            </w:pPr>
          </w:p>
        </w:tc>
      </w:tr>
      <w:tr w:rsidR="00125F3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содержание методологии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5F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этики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5F3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темы научного исследования. Структура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5F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методы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5F3F" w:rsidRPr="002448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Методология подготовки научного исследования в области образования и педагогических наук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rPr>
                <w:lang w:val="ru-RU"/>
              </w:rPr>
            </w:pPr>
          </w:p>
        </w:tc>
      </w:tr>
    </w:tbl>
    <w:p w:rsidR="00125F3F" w:rsidRPr="00244854" w:rsidRDefault="00244854">
      <w:pPr>
        <w:rPr>
          <w:sz w:val="0"/>
          <w:szCs w:val="0"/>
          <w:lang w:val="ru-RU"/>
        </w:rPr>
      </w:pPr>
      <w:r w:rsidRPr="002448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25F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Управление научно-исследовательскими работами в вузе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5F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125F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125F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теоретического и экспериментального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5F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научного исследования в области образования и педагогических наук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5F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125F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F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125F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5F3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125F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125F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125F3F">
        <w:trPr>
          <w:trHeight w:hRule="exact" w:val="1244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25F3F" w:rsidRPr="00244854" w:rsidRDefault="0024485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44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25F3F" w:rsidRDefault="002448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 Республики</w:t>
            </w:r>
          </w:p>
        </w:tc>
      </w:tr>
    </w:tbl>
    <w:p w:rsidR="00125F3F" w:rsidRDefault="002448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5F3F" w:rsidRPr="00244854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25F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25F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25F3F" w:rsidRPr="002448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и содержание методологии научного исследования</w:t>
            </w:r>
          </w:p>
        </w:tc>
      </w:tr>
      <w:tr w:rsidR="00125F3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методологии как о системе принципов и способов организации, построения теоретической и практической деятельности. Науковедческие основания методологии науки. Критерии научности знания. Теоретические и эмпирические исследования, их взаимосвязь. Фундаментальное и прикладное исследование. Формы организации научного знания. Понятие «факт» и его интерпретация. Функции фактов в исследовании. Гипотеза как форма научного знания. Виды гипотез, основные требования к научной гипотезе. Формальные признаки «хорошей» гипотезы. Понятия «положение», «аксиома», «понятие», «категория», «термин», «принцип», «закон», «теория», «доктрина», «парадигма». Научная деятельность и её типы. Коллективная и индивидуальная научная деятельность.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индивидуальной научной деятельности. Особенности коллективной научной деятельности.</w:t>
            </w:r>
          </w:p>
        </w:tc>
      </w:tr>
      <w:tr w:rsidR="00125F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Принципы этики научного исследования</w:t>
            </w:r>
          </w:p>
        </w:tc>
      </w:tr>
      <w:tr w:rsidR="00125F3F" w:rsidRPr="0024485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научного исследования. Роль научного руководителя в исследовании. Научная добросовестность исследователя и проблема плагиата. Основные принципы работы с научной литературой. Соответствие используемой литературы избранному ракурсу работы. Навыки и приемы реферирования научной литературы. Отличие авторской позиции от реферативного изложения. Принципы научного цитирования. Культура цитирования. Формирование навыков письменной научной речи. Индексы научного цитирования. Использование литературы на иностранных языках. Специфика работы с электронными носителями информации. Проверка авторского текста в системе «Антиплагиат».</w:t>
            </w:r>
          </w:p>
        </w:tc>
      </w:tr>
      <w:tr w:rsidR="00125F3F" w:rsidRPr="002448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Управление научно-исследовательскими работами в вузе</w:t>
            </w:r>
          </w:p>
        </w:tc>
      </w:tr>
      <w:tr w:rsidR="00125F3F">
        <w:trPr>
          <w:trHeight w:hRule="exact" w:val="27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исследовательских работ различного типа и вида в образовательном учреждении. Уровни организации исследовательских работ. Коммуникации с научными фондами, правила заявки на исследовательский грант. Организация коллективного исследования. Субъекты исследовательской деятельности. Руководитель исследовательских работ. Возможности научного творчества в профессиональном, интеллектуальном и общекультурном развитии практического работника образовании, способностей осуществления профессионального и личностного самообразования, проектирования образовательного маршрута и профессиональной карьеры. Индивидуальные креативные способности, качества и черты педагога-исследователя: диагностика и использование для решения исследовательских задач.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</w:p>
        </w:tc>
      </w:tr>
    </w:tbl>
    <w:p w:rsidR="00125F3F" w:rsidRDefault="002448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5F3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командного подхода, индивидуальных и групповых технологий принятия решений при организации и реализации коллективной и индивидуальной опытно-экспериментальной работы. Критерии и показатели оценки качества научного исследования. Критерии результативности научного исследования: научная новизна, практическая значимость, теоретическая значимость. Разработки предложений по результатам научного исследования. Понятие эффективности научного исследования.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обеспечения эффективности научного исследования</w:t>
            </w:r>
          </w:p>
        </w:tc>
      </w:tr>
      <w:tr w:rsidR="00125F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25F3F">
        <w:trPr>
          <w:trHeight w:hRule="exact" w:val="147"/>
        </w:trPr>
        <w:tc>
          <w:tcPr>
            <w:tcW w:w="9640" w:type="dxa"/>
          </w:tcPr>
          <w:p w:rsidR="00125F3F" w:rsidRDefault="00125F3F"/>
        </w:tc>
      </w:tr>
      <w:tr w:rsidR="00125F3F" w:rsidRPr="002448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Выбор темы научного исследования. Структура научного исследования</w:t>
            </w:r>
          </w:p>
        </w:tc>
      </w:tr>
      <w:tr w:rsidR="00125F3F" w:rsidRPr="00244854">
        <w:trPr>
          <w:trHeight w:hRule="exact" w:val="35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темы исследования научным интересам магистранта, научному направлению. Актуальность темы исследования, ее основные маркеры. Научная аргументация необходимости исследования избранной темы. Степень научной разработанности проблемы. Знакомство с историей вопроса, с отечественной и зарубежной литературой по теме. Систематизация исследований по избранной теме по проблемному принципу. Объект и предмет исследования. Соотнесение объекта, предмета, темы и цели исследования. Формирование проблемного поля исследования. Цель, задачи и гипотезы исследования. Иерархия цели и задач. Формирование программы исследования. Соответ-ствие структуры исследования ее цели и задачам.  Теоретическая и эмпирическая основа работы. Определение авторского вклада в изучаемую проблему посредством выявления теоретической и практической значимости работы.</w:t>
            </w:r>
          </w:p>
        </w:tc>
      </w:tr>
      <w:tr w:rsidR="00125F3F" w:rsidRPr="0024485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 и методы научного исследования</w:t>
            </w:r>
          </w:p>
        </w:tc>
      </w:tr>
      <w:tr w:rsidR="00125F3F" w:rsidRPr="00244854">
        <w:trPr>
          <w:trHeight w:hRule="exact" w:val="41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исследования: материальные, информационные, математические, логические. Классификация и характеристика методов исследования. Классификация методов научного познания. Сущность теоретического и эмпирического методов научного познания. Сущность, роль, состав и содержание общенаучных методов познания. Сущность, содер-жание и роль конкретно-научных (частных) методов познания. Общенаучные логические методы и приёмы познания (анализ, синтез, абстрагирование, идеализация, обобщение, индукция, дедукция, аналогия, систематизация, обобщение и др.). Системный анализ. Моделирование. Эксперимент. Психологические и социологические методы исследования. Роль и значение психологического и социологического инструментария в исследованиях. Тестирование и требования к проведению тестирования. Специфика анкетирования, ин-тервью, беседы и группового опроса. Наблюдение и его исследовательские возможности. Метод анализа результатов деятельности. Проблемы интерпретации полученных резуль-татов. Методы, основанные на применении знаний и интуиции специалистов: методы коллективных экспертных оценок, методы индивидуальных экспертных оценок.</w:t>
            </w:r>
          </w:p>
        </w:tc>
      </w:tr>
      <w:tr w:rsidR="00125F3F" w:rsidRPr="0024485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теоретического и экспериментального исследования</w:t>
            </w:r>
          </w:p>
        </w:tc>
      </w:tr>
      <w:tr w:rsidR="00125F3F" w:rsidRPr="00244854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методики теоретического и экспериментального исследования. Теоретические модели исследования. Модели исследования. Математические и статистические модели. Процесс моделирования на ЭВМ. Методология эксперимента. Разработка плана программы эксперимента. Экспериментальные исследования. Планирование эксперимента. Проведение экспериментальных исследований. Точность измерений. Средства измерений. Обработка результатов эксперимента. Основы теории ошибок и методов оценки случайных погрешностей в измерениях</w:t>
            </w:r>
          </w:p>
        </w:tc>
      </w:tr>
      <w:tr w:rsidR="00125F3F" w:rsidRPr="00244854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Представление результатов научного исследования в области образования и педагогических наук</w:t>
            </w:r>
          </w:p>
        </w:tc>
      </w:tr>
      <w:tr w:rsidR="00125F3F" w:rsidRPr="00244854">
        <w:trPr>
          <w:trHeight w:hRule="exact" w:val="18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Необходимость апробации основных результатов научного исследования. Обсуждение научной проблемы со специалистами в области педагогических наук.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возможности для публикации научных работ. Выступление на научно- практических конференциях и семинарах. Значимость научной дискуссии при выработке авторской позиции.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тезисов и статей. Специфика изложения научного текста в форме тезисов,</w:t>
            </w:r>
          </w:p>
        </w:tc>
      </w:tr>
    </w:tbl>
    <w:p w:rsidR="00125F3F" w:rsidRPr="00244854" w:rsidRDefault="00244854">
      <w:pPr>
        <w:rPr>
          <w:sz w:val="0"/>
          <w:szCs w:val="0"/>
          <w:lang w:val="ru-RU"/>
        </w:rPr>
      </w:pPr>
      <w:r w:rsidRPr="002448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25F3F" w:rsidRPr="00244854">
        <w:trPr>
          <w:trHeight w:hRule="exact" w:val="356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статей и выступлений. Электронные публикации.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рецензируемых журналов. Рецензируемые журналы в области педагогических наук. Принципы подготовки статьи в рецензируемые журналы и основные требования к публикации.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построения научного доклада. Принцип простоты подачи материала: от общего к частному. Роль иллюстративного материала.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библиотеки. Основные научные электронные библиотеки.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крупнейшая в России электронная библиотека научных публикаций. Принципы реги- страции в электронной библиотеки и ее возможности.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индекс научного цитирования (РИНЦ) как инструмент измерения и анализа публикационной активности ученых и организаций. РИНЦ как библиографическая база данных научных публикаций российских учёных. Аналитический инструментарий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ScienceIndex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25F3F" w:rsidRPr="0024485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125F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25F3F" w:rsidRPr="0024485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«Методология и методы научного исследования» / Лопанова Е.В.. – Омск: Изд-во Омской гуманитарной академии, 2021.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25F3F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25F3F" w:rsidRPr="0024485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978-5-534-06257-1.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4854">
              <w:rPr>
                <w:lang w:val="ru-RU"/>
              </w:rPr>
              <w:t xml:space="preserve"> </w:t>
            </w:r>
            <w:hyperlink r:id="rId4" w:history="1">
              <w:r w:rsidR="003C40E7">
                <w:rPr>
                  <w:rStyle w:val="a3"/>
                  <w:lang w:val="ru-RU"/>
                </w:rPr>
                <w:t>https://urait.ru/bcode/437120</w:t>
              </w:r>
            </w:hyperlink>
            <w:r w:rsidRPr="00244854">
              <w:rPr>
                <w:lang w:val="ru-RU"/>
              </w:rPr>
              <w:t xml:space="preserve"> </w:t>
            </w:r>
          </w:p>
        </w:tc>
      </w:tr>
      <w:tr w:rsidR="00125F3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Грибкова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Уколова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2448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978-5-534-02890-4.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3C40E7">
                <w:rPr>
                  <w:rStyle w:val="a3"/>
                </w:rPr>
                <w:t>https://urait.ru/bcode/438292</w:t>
              </w:r>
            </w:hyperlink>
            <w:r>
              <w:t xml:space="preserve"> </w:t>
            </w:r>
          </w:p>
        </w:tc>
      </w:tr>
      <w:tr w:rsidR="00125F3F">
        <w:trPr>
          <w:trHeight w:hRule="exact" w:val="304"/>
        </w:trPr>
        <w:tc>
          <w:tcPr>
            <w:tcW w:w="285" w:type="dxa"/>
          </w:tcPr>
          <w:p w:rsidR="00125F3F" w:rsidRDefault="00125F3F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25F3F" w:rsidRPr="00244854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Московская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водного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транспорта,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4854">
              <w:rPr>
                <w:lang w:val="ru-RU"/>
              </w:rPr>
              <w:t xml:space="preserve"> </w:t>
            </w:r>
            <w:hyperlink r:id="rId6" w:history="1">
              <w:r w:rsidR="003C40E7">
                <w:rPr>
                  <w:rStyle w:val="a3"/>
                  <w:lang w:val="ru-RU"/>
                </w:rPr>
                <w:t>http://www.iprbookshop.ru/46480.html</w:t>
              </w:r>
            </w:hyperlink>
            <w:r w:rsidRPr="00244854">
              <w:rPr>
                <w:lang w:val="ru-RU"/>
              </w:rPr>
              <w:t xml:space="preserve"> </w:t>
            </w:r>
          </w:p>
        </w:tc>
      </w:tr>
      <w:tr w:rsidR="00125F3F" w:rsidRPr="0024485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Таубаева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Булатбаева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Алматы: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Казахский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аль-Фараби,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978-601-04-1141-8.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4854">
              <w:rPr>
                <w:lang w:val="ru-RU"/>
              </w:rPr>
              <w:t xml:space="preserve"> </w:t>
            </w:r>
            <w:hyperlink r:id="rId7" w:history="1">
              <w:r w:rsidR="003C40E7">
                <w:rPr>
                  <w:rStyle w:val="a3"/>
                  <w:lang w:val="ru-RU"/>
                </w:rPr>
                <w:t>http://www.iprbookshop.ru/57530.html</w:t>
              </w:r>
            </w:hyperlink>
            <w:r w:rsidRPr="00244854">
              <w:rPr>
                <w:lang w:val="ru-RU"/>
              </w:rPr>
              <w:t xml:space="preserve"> </w:t>
            </w:r>
          </w:p>
        </w:tc>
      </w:tr>
      <w:tr w:rsidR="00125F3F" w:rsidRPr="0024485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Крулехт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978-5-534-05461-3.</w:t>
            </w:r>
            <w:r w:rsidRPr="00244854">
              <w:rPr>
                <w:lang w:val="ru-RU"/>
              </w:rPr>
              <w:t xml:space="preserve"> 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48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4854">
              <w:rPr>
                <w:lang w:val="ru-RU"/>
              </w:rPr>
              <w:t xml:space="preserve"> </w:t>
            </w:r>
            <w:hyperlink r:id="rId8" w:history="1">
              <w:r w:rsidR="003C40E7">
                <w:rPr>
                  <w:rStyle w:val="a3"/>
                  <w:lang w:val="ru-RU"/>
                </w:rPr>
                <w:t>https://urait.ru/bcode/441148</w:t>
              </w:r>
            </w:hyperlink>
            <w:r w:rsidRPr="00244854">
              <w:rPr>
                <w:lang w:val="ru-RU"/>
              </w:rPr>
              <w:t xml:space="preserve"> </w:t>
            </w:r>
          </w:p>
        </w:tc>
      </w:tr>
      <w:tr w:rsidR="00125F3F" w:rsidRPr="00244854">
        <w:trPr>
          <w:trHeight w:hRule="exact" w:val="39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</w:t>
            </w:r>
          </w:p>
        </w:tc>
      </w:tr>
    </w:tbl>
    <w:p w:rsidR="00125F3F" w:rsidRPr="00244854" w:rsidRDefault="00244854">
      <w:pPr>
        <w:rPr>
          <w:sz w:val="0"/>
          <w:szCs w:val="0"/>
          <w:lang w:val="ru-RU"/>
        </w:rPr>
      </w:pPr>
      <w:r w:rsidRPr="002448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5F3F" w:rsidRPr="002448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«Интернет», необходимых для освоения дисциплины</w:t>
            </w:r>
          </w:p>
        </w:tc>
      </w:tr>
      <w:tr w:rsidR="00125F3F" w:rsidRPr="00244854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D871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25F3F" w:rsidRPr="002448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25F3F" w:rsidRPr="00244854">
        <w:trPr>
          <w:trHeight w:hRule="exact" w:val="5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</w:t>
            </w:r>
          </w:p>
        </w:tc>
      </w:tr>
    </w:tbl>
    <w:p w:rsidR="00125F3F" w:rsidRPr="00244854" w:rsidRDefault="00244854">
      <w:pPr>
        <w:rPr>
          <w:sz w:val="0"/>
          <w:szCs w:val="0"/>
          <w:lang w:val="ru-RU"/>
        </w:rPr>
      </w:pPr>
      <w:r w:rsidRPr="002448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5F3F" w:rsidRPr="00244854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лекции, подумать о том, какая может быть тема следующей лекции;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25F3F" w:rsidRPr="002448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25F3F" w:rsidRPr="0024485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25F3F" w:rsidRPr="00244854" w:rsidRDefault="00125F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25F3F" w:rsidRDefault="002448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25F3F" w:rsidRDefault="002448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25F3F" w:rsidRPr="00244854" w:rsidRDefault="00125F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25F3F" w:rsidRPr="002448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25F3F" w:rsidRPr="002448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25F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3C40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25F3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Default="00244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25F3F" w:rsidRPr="00244854">
        <w:trPr>
          <w:trHeight w:hRule="exact" w:val="9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доступ к учебным планам, рабочим программам дисциплин (модулей), практик, к</w:t>
            </w:r>
          </w:p>
        </w:tc>
      </w:tr>
    </w:tbl>
    <w:p w:rsidR="00125F3F" w:rsidRPr="00244854" w:rsidRDefault="00244854">
      <w:pPr>
        <w:rPr>
          <w:sz w:val="0"/>
          <w:szCs w:val="0"/>
          <w:lang w:val="ru-RU"/>
        </w:rPr>
      </w:pPr>
      <w:r w:rsidRPr="002448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5F3F" w:rsidRPr="00244854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25F3F" w:rsidRPr="00244854">
        <w:trPr>
          <w:trHeight w:hRule="exact" w:val="277"/>
        </w:trPr>
        <w:tc>
          <w:tcPr>
            <w:tcW w:w="9640" w:type="dxa"/>
          </w:tcPr>
          <w:p w:rsidR="00125F3F" w:rsidRPr="00244854" w:rsidRDefault="00125F3F">
            <w:pPr>
              <w:rPr>
                <w:lang w:val="ru-RU"/>
              </w:rPr>
            </w:pPr>
          </w:p>
        </w:tc>
      </w:tr>
      <w:tr w:rsidR="00125F3F" w:rsidRPr="002448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25F3F" w:rsidRPr="00244854">
        <w:trPr>
          <w:trHeight w:hRule="exact" w:val="77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</w:t>
            </w:r>
          </w:p>
        </w:tc>
      </w:tr>
    </w:tbl>
    <w:p w:rsidR="00125F3F" w:rsidRPr="00244854" w:rsidRDefault="00244854">
      <w:pPr>
        <w:rPr>
          <w:sz w:val="0"/>
          <w:szCs w:val="0"/>
          <w:lang w:val="ru-RU"/>
        </w:rPr>
      </w:pPr>
      <w:r w:rsidRPr="002448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25F3F" w:rsidRPr="00244854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D871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25F3F" w:rsidRPr="00244854" w:rsidRDefault="002448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4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25F3F" w:rsidRPr="00244854" w:rsidRDefault="00125F3F">
      <w:pPr>
        <w:rPr>
          <w:lang w:val="ru-RU"/>
        </w:rPr>
      </w:pPr>
    </w:p>
    <w:sectPr w:rsidR="00125F3F" w:rsidRPr="00244854" w:rsidSect="00125F3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25F3F"/>
    <w:rsid w:val="001F0BC7"/>
    <w:rsid w:val="00244854"/>
    <w:rsid w:val="003C40E7"/>
    <w:rsid w:val="00D31453"/>
    <w:rsid w:val="00D8711F"/>
    <w:rsid w:val="00E209E2"/>
    <w:rsid w:val="00E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4EC50C-E75E-40EC-A1D0-C2996D42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11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1148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57530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46480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38292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37120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6419</Words>
  <Characters>36589</Characters>
  <Application>Microsoft Office Word</Application>
  <DocSecurity>0</DocSecurity>
  <Lines>304</Lines>
  <Paragraphs>85</Paragraphs>
  <ScaleCrop>false</ScaleCrop>
  <Company/>
  <LinksUpToDate>false</LinksUpToDate>
  <CharactersWithSpaces>42923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2021-2022_ФГОС3++2021_Маг-ЗФО-ПО(Шк мед)(21)_plx_Методология и методы научного исследования</dc:title>
  <dc:creator>FastReport.NET</dc:creator>
  <cp:lastModifiedBy>Mark Bernstorf</cp:lastModifiedBy>
  <cp:revision>5</cp:revision>
  <dcterms:created xsi:type="dcterms:W3CDTF">2022-02-26T12:20:00Z</dcterms:created>
  <dcterms:modified xsi:type="dcterms:W3CDTF">2022-11-14T02:06:00Z</dcterms:modified>
</cp:coreProperties>
</file>